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F0" w:rsidRPr="001B52F0" w:rsidRDefault="001B52F0" w:rsidP="001B52F0">
      <w:pPr>
        <w:jc w:val="center"/>
        <w:rPr>
          <w:rFonts w:ascii="Times New Roman" w:hAnsi="Times New Roman" w:cs="Times New Roman"/>
          <w:sz w:val="28"/>
          <w:szCs w:val="28"/>
        </w:rPr>
      </w:pPr>
      <w:bookmarkStart w:id="0" w:name="_GoBack"/>
      <w:bookmarkEnd w:id="0"/>
      <w:r w:rsidRPr="001B52F0">
        <w:rPr>
          <w:rFonts w:ascii="Times New Roman" w:hAnsi="Times New Roman" w:cs="Times New Roman"/>
          <w:b/>
          <w:bCs/>
          <w:sz w:val="28"/>
          <w:szCs w:val="28"/>
        </w:rPr>
        <w:t>ВНИМАНИЕ БОРЩЕВИК!</w:t>
      </w:r>
    </w:p>
    <w:p w:rsidR="001B52F0" w:rsidRPr="001B52F0" w:rsidRDefault="001B52F0" w:rsidP="001B52F0">
      <w:pPr>
        <w:jc w:val="center"/>
        <w:rPr>
          <w:rFonts w:ascii="Times New Roman" w:hAnsi="Times New Roman" w:cs="Times New Roman"/>
          <w:sz w:val="28"/>
          <w:szCs w:val="28"/>
        </w:rPr>
      </w:pPr>
      <w:r w:rsidRPr="001B52F0">
        <w:rPr>
          <w:rFonts w:ascii="Times New Roman" w:hAnsi="Times New Roman" w:cs="Times New Roman"/>
          <w:b/>
          <w:bCs/>
          <w:sz w:val="28"/>
          <w:szCs w:val="28"/>
        </w:rPr>
        <w:t>ПАМЯТКА ПО БОРЬБЕ С БОРЩЕВИКОМ СОСНОВСКОГО</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Борщевики – многолетние растения из семейства зонтичных. Нешуточную угрозу здоровью людей и домашнего скота представляет в настоящее время борщевик Сосновского.</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Прозрачный водянистый сок борщевика содержит светочувствительные вещества из группы </w:t>
      </w:r>
      <w:proofErr w:type="spellStart"/>
      <w:r w:rsidRPr="001B52F0">
        <w:rPr>
          <w:rFonts w:ascii="Times New Roman" w:hAnsi="Times New Roman" w:cs="Times New Roman"/>
          <w:sz w:val="28"/>
          <w:szCs w:val="28"/>
        </w:rPr>
        <w:t>фуранокумаринов</w:t>
      </w:r>
      <w:proofErr w:type="spellEnd"/>
      <w:r w:rsidRPr="001B52F0">
        <w:rPr>
          <w:rFonts w:ascii="Times New Roman" w:hAnsi="Times New Roman" w:cs="Times New Roman"/>
          <w:sz w:val="28"/>
          <w:szCs w:val="28"/>
        </w:rPr>
        <w:t>. Под действием ультрафиолетового излучения они переходят в активную форму, способную вызывать серьёзные повреждения кожи (воздействие на клеточные структуры происходит на уровне ДНК), требующие длительного лечения и не всегда проходящие бесследно. После контакта с растением, особенно в солнечные дни, на коже может появиться сильный ожог. Особая опасность заключается в том, что прикосновение к растению первое время не вызывает никаких неприятных ощущений.</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При попадании сока на кожу её нужно как можно скорее изолировать от действия света (обмотав любым светонепроницаемым материалом в первые же минуты после поражения), а затем уже в тёмном месте тщательно промыть водой с мылом и исключить воздействие солнечных лучей не менее чем в течение 2 суток.</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Сок борщевика при попадании в глаза может привести к слепоте (в результате сильного ожога роговицы глаза).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Аэрозоль сока борщевика и его пыльца при высоких концентрациях могут вызвать отёк верхних дыхательных путей (в первую очередь гортани), а также верхних частей пищевода.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b/>
          <w:bCs/>
          <w:sz w:val="28"/>
          <w:szCs w:val="28"/>
        </w:rPr>
        <w:t>Способы борьбы с борщевиком.</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Начиная борьбу с борщевиком нужно помнить, что размножается растение только семенами, не давая корневой поросли. Что существенно облегчает задачу.</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1. Выкапывание растения целиком</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Если на вашей территории всего единичные экземпляры борщевика, то хорошим способом будет выкопать их вместе с корнем.</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Выкапывать нужно до появления семян – в апреле — мае или самом начале лета.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Выкапывание борщевика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Вооружившись штыковой лопатой, правильно будет копать примерно на глубину 40 см, и обкопать корни со всех сторон. Затем извлеченное растение нужно сжечь.</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2. Скашивание растений до цветения.</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lastRenderedPageBreak/>
        <w:t>3. Обрезка соцветий.</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Делается это в период цветения или </w:t>
      </w:r>
      <w:proofErr w:type="spellStart"/>
      <w:r w:rsidRPr="001B52F0">
        <w:rPr>
          <w:rFonts w:ascii="Times New Roman" w:hAnsi="Times New Roman" w:cs="Times New Roman"/>
          <w:sz w:val="28"/>
          <w:szCs w:val="28"/>
        </w:rPr>
        <w:t>бутонизации</w:t>
      </w:r>
      <w:proofErr w:type="spellEnd"/>
      <w:r w:rsidRPr="001B52F0">
        <w:rPr>
          <w:rFonts w:ascii="Times New Roman" w:hAnsi="Times New Roman" w:cs="Times New Roman"/>
          <w:sz w:val="28"/>
          <w:szCs w:val="28"/>
        </w:rP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1B52F0">
        <w:rPr>
          <w:rFonts w:ascii="Times New Roman" w:hAnsi="Times New Roman" w:cs="Times New Roman"/>
          <w:sz w:val="28"/>
          <w:szCs w:val="28"/>
        </w:rPr>
        <w:t>вегетировать</w:t>
      </w:r>
      <w:proofErr w:type="spellEnd"/>
      <w:r w:rsidRPr="001B52F0">
        <w:rPr>
          <w:rFonts w:ascii="Times New Roman" w:hAnsi="Times New Roman" w:cs="Times New Roman"/>
          <w:sz w:val="28"/>
          <w:szCs w:val="28"/>
        </w:rPr>
        <w:t>, поэтому если его наличие вообще нежелательно, нужно применять более кардинальные методы борьбы.</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4. Сжигание растений.</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Внимание! Данный способ очень опасен! Огонь может легко перекинуться на другую растительность или постройки!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5. Укрывание пленкой, мульчирование</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Надежный способ ликвидировать борщевик – использование укрывного материала. Этот сорняк несмотря на свою стойкость не может расти без солнца. Поэтому часто практикуют следующий метод:</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1. В мае скашивают имеющиеся всходы.</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2. Всю площадь произрастания борщевика укрывают черной плотной плёнкой, толщиной не менее 0,1 мм. Пленку фиксируют по периметру грузами.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3. Пленку должна пролежать на месте до июля следующего года. Потом её можно снять и данное засаживать место любыми культурами.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Укрывание черной пленкой</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Если четко следовать предложенному плану, то в первый год погибнет весь борщевик, вместе с корневой системой. А в следующем, у проросших из оставшихся в земле семян всходов, не будет никакого шанса вырасти без солнца, воды и воздуха.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Если не планируется выращивать какие-то полезные культуры на участке, пораженном борщевиком сосновского, то можно использовать следующий метод:</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1. В начале сезона пораженная территория вспахивается.</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2. Затем вся площадь укрывается </w:t>
      </w:r>
      <w:proofErr w:type="spellStart"/>
      <w:r w:rsidRPr="001B52F0">
        <w:rPr>
          <w:rFonts w:ascii="Times New Roman" w:hAnsi="Times New Roman" w:cs="Times New Roman"/>
          <w:sz w:val="28"/>
          <w:szCs w:val="28"/>
        </w:rPr>
        <w:t>геополотном</w:t>
      </w:r>
      <w:proofErr w:type="spellEnd"/>
      <w:r w:rsidRPr="001B52F0">
        <w:rPr>
          <w:rFonts w:ascii="Times New Roman" w:hAnsi="Times New Roman" w:cs="Times New Roman"/>
          <w:sz w:val="28"/>
          <w:szCs w:val="28"/>
        </w:rPr>
        <w:t xml:space="preserve"> с плотностью от 100г/м3.</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3. На </w:t>
      </w:r>
      <w:proofErr w:type="spellStart"/>
      <w:r w:rsidRPr="001B52F0">
        <w:rPr>
          <w:rFonts w:ascii="Times New Roman" w:hAnsi="Times New Roman" w:cs="Times New Roman"/>
          <w:sz w:val="28"/>
          <w:szCs w:val="28"/>
        </w:rPr>
        <w:t>геополотно</w:t>
      </w:r>
      <w:proofErr w:type="spellEnd"/>
      <w:r w:rsidRPr="001B52F0">
        <w:rPr>
          <w:rFonts w:ascii="Times New Roman" w:hAnsi="Times New Roman" w:cs="Times New Roman"/>
          <w:sz w:val="28"/>
          <w:szCs w:val="28"/>
        </w:rPr>
        <w:t xml:space="preserve"> насыпается чистая земля. Слой грунта должен получится примерно 5 см.</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4. Делаем посев </w:t>
      </w:r>
      <w:proofErr w:type="spellStart"/>
      <w:r w:rsidRPr="001B52F0">
        <w:rPr>
          <w:rFonts w:ascii="Times New Roman" w:hAnsi="Times New Roman" w:cs="Times New Roman"/>
          <w:sz w:val="28"/>
          <w:szCs w:val="28"/>
        </w:rPr>
        <w:t>задерняющей</w:t>
      </w:r>
      <w:proofErr w:type="spellEnd"/>
      <w:r w:rsidRPr="001B52F0">
        <w:rPr>
          <w:rFonts w:ascii="Times New Roman" w:hAnsi="Times New Roman" w:cs="Times New Roman"/>
          <w:sz w:val="28"/>
          <w:szCs w:val="28"/>
        </w:rPr>
        <w:t xml:space="preserve"> смесью трав на подготовленную почву. Норма высева 20 кг/га.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lastRenderedPageBreak/>
        <w:t>Результатом данных действий будет густая трава на данном участке, которая не даст прорости вредителю. Эту траву следует оставить на нескольких лет, пока семена борщевика сохраняют свою всхожесть.</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6.Гербициды</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Эффективным средством против борщевика являются химикаты. На рынке представлено так много вариантов, что при первом рассмотрении можно легко запутаться. Но на самом деле все не так сложно — у большинства препаратов против сорняков в качестве действующего вещества используется </w:t>
      </w:r>
      <w:proofErr w:type="spellStart"/>
      <w:r w:rsidRPr="001B52F0">
        <w:rPr>
          <w:rFonts w:ascii="Times New Roman" w:hAnsi="Times New Roman" w:cs="Times New Roman"/>
          <w:sz w:val="28"/>
          <w:szCs w:val="28"/>
        </w:rPr>
        <w:t>глифосат</w:t>
      </w:r>
      <w:proofErr w:type="spellEnd"/>
      <w:r w:rsidRPr="001B52F0">
        <w:rPr>
          <w:rFonts w:ascii="Times New Roman" w:hAnsi="Times New Roman" w:cs="Times New Roman"/>
          <w:sz w:val="28"/>
          <w:szCs w:val="28"/>
        </w:rPr>
        <w:t xml:space="preserve">. Преимуществом таких пестицидов является возможность их точечного применения. Можно обработать только борщевик, при этом другие растения на вашем огороде не пострадают. </w:t>
      </w:r>
      <w:proofErr w:type="spellStart"/>
      <w:r w:rsidRPr="001B52F0">
        <w:rPr>
          <w:rFonts w:ascii="Times New Roman" w:hAnsi="Times New Roman" w:cs="Times New Roman"/>
          <w:sz w:val="28"/>
          <w:szCs w:val="28"/>
        </w:rPr>
        <w:t>Глифосат</w:t>
      </w:r>
      <w:proofErr w:type="spellEnd"/>
      <w:r w:rsidRPr="001B52F0">
        <w:rPr>
          <w:rFonts w:ascii="Times New Roman" w:hAnsi="Times New Roman" w:cs="Times New Roman"/>
          <w:sz w:val="28"/>
          <w:szCs w:val="28"/>
        </w:rPr>
        <w:t xml:space="preserve"> довольно быстро попадает в корневую систему, блокирует важные процессы и растение погибает.</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7.Фитоценотическое угнетение</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xml:space="preserve">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w:t>
      </w:r>
      <w:proofErr w:type="gramStart"/>
      <w:r w:rsidRPr="001B52F0">
        <w:rPr>
          <w:rFonts w:ascii="Times New Roman" w:hAnsi="Times New Roman" w:cs="Times New Roman"/>
          <w:sz w:val="28"/>
          <w:szCs w:val="28"/>
        </w:rPr>
        <w:t>например</w:t>
      </w:r>
      <w:proofErr w:type="gramEnd"/>
      <w:r w:rsidRPr="001B52F0">
        <w:rPr>
          <w:rFonts w:ascii="Times New Roman" w:hAnsi="Times New Roman" w:cs="Times New Roman"/>
          <w:sz w:val="28"/>
          <w:szCs w:val="28"/>
        </w:rPr>
        <w:t xml:space="preserve"> картофель, на которых длительное время проводится механический уход.</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Наилучшие результаты дает комбинированный метод борьбы с борщевиком. Он включает в себя скашивание, а после скашивания 2-х кратную обработку гербицидами с интервалом в 3-4 недели.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b/>
          <w:bCs/>
          <w:sz w:val="28"/>
          <w:szCs w:val="28"/>
        </w:rPr>
        <w:t>Меры безопасности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b/>
          <w:bCs/>
          <w:sz w:val="28"/>
          <w:szCs w:val="28"/>
        </w:rPr>
        <w:t>при работе с растениями борщевика Сосновского</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1. Проводить работы с борщевиком Сосновского необходимо в специальной одежде: водонепроницаемый костюм с капюшоном, резиновые перчатки и сапоги, защитные очки, респиратор.</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2. Желательно работать в пасмурные дни, чтобы избегать облучения солнечным светом участков тела, на которые попал сок растений;</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после работы с борщевиком нужно вымыть открытые участки тела водой с мылом, протереть их одеколоном или спиртом;</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необходимо избегать прямых контактов с растениями особенно в часы, когда на них обильная роса.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 Наиболее оптимальным периодом для искрения борщевика является май.</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3. При попадании сока борщевика на кожу необходимо как можно скорее промыть ее водой с мылом, затем обязательно обратиться к врачу.</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4. Лица, привлекаемые для работы с борщевиком Сосновского (постоянно или временно), должны пройти инструктаж по технике безопасности.</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b/>
          <w:bCs/>
          <w:sz w:val="28"/>
          <w:szCs w:val="28"/>
        </w:rPr>
        <w:t>Что нельзя делать, уничтожая заросли борщевиков</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lastRenderedPageBreak/>
        <w:t>2. Нельзя допускать скашивание борщевиков в момент осыпания семян с растений. Ибо это будет приводить к большему рассеиванию борщевика.</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sz w:val="28"/>
          <w:szCs w:val="28"/>
        </w:rP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b/>
          <w:bCs/>
          <w:sz w:val="28"/>
          <w:szCs w:val="28"/>
        </w:rPr>
        <w:t>Будьте осторожны!</w:t>
      </w:r>
    </w:p>
    <w:p w:rsidR="001B52F0" w:rsidRPr="001B52F0" w:rsidRDefault="001B52F0" w:rsidP="001B52F0">
      <w:pPr>
        <w:spacing w:after="0" w:line="240" w:lineRule="auto"/>
        <w:ind w:firstLine="567"/>
        <w:contextualSpacing/>
        <w:jc w:val="both"/>
        <w:rPr>
          <w:rFonts w:ascii="Times New Roman" w:hAnsi="Times New Roman" w:cs="Times New Roman"/>
          <w:sz w:val="28"/>
          <w:szCs w:val="28"/>
        </w:rPr>
      </w:pPr>
      <w:r w:rsidRPr="001B52F0">
        <w:rPr>
          <w:rFonts w:ascii="Times New Roman" w:hAnsi="Times New Roman" w:cs="Times New Roman"/>
          <w:b/>
          <w:bCs/>
          <w:sz w:val="28"/>
          <w:szCs w:val="28"/>
        </w:rPr>
        <w:t>Соблюдайте меры безопасности!</w:t>
      </w:r>
      <w:r w:rsidRPr="001B52F0">
        <w:rPr>
          <w:rFonts w:ascii="Times New Roman" w:hAnsi="Times New Roman" w:cs="Times New Roman"/>
          <w:sz w:val="28"/>
          <w:szCs w:val="28"/>
        </w:rPr>
        <w:t> </w:t>
      </w:r>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3840"/>
        <w:gridCol w:w="5465"/>
      </w:tblGrid>
      <w:tr w:rsidR="001B52F0" w:rsidRPr="001B52F0" w:rsidTr="001B52F0">
        <w:trPr>
          <w:tblCellSpacing w:w="15" w:type="dxa"/>
        </w:trPr>
        <w:tc>
          <w:tcPr>
            <w:tcW w:w="0" w:type="auto"/>
            <w:vAlign w:val="center"/>
            <w:hideMark/>
          </w:tcPr>
          <w:p w:rsidR="001B52F0" w:rsidRPr="001B52F0" w:rsidRDefault="001B52F0" w:rsidP="001B52F0">
            <w:pPr>
              <w:ind w:left="-45"/>
            </w:pPr>
            <w:r w:rsidRPr="001B52F0">
              <w:rPr>
                <w:noProof/>
                <w:lang w:eastAsia="ru-RU"/>
              </w:rPr>
              <w:drawing>
                <wp:inline distT="0" distB="0" distL="0" distR="0">
                  <wp:extent cx="2419350" cy="1905000"/>
                  <wp:effectExtent l="0" t="0" r="0" b="0"/>
                  <wp:docPr id="5" name="Рисунок 5" descr="Памятка по борьбе с борщевиком Cосновского">
                    <a:hlinkClick xmlns:a="http://schemas.openxmlformats.org/drawingml/2006/main" r:id="rId4" tooltip="&quot;Памятка по борьбе с борщевиком C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по борьбе с борщевиком Cосновского">
                            <a:hlinkClick r:id="rId4" tooltip="&quot;Памятка по борьбе с борщевиком Cосновского&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1905000"/>
                          </a:xfrm>
                          <a:prstGeom prst="rect">
                            <a:avLst/>
                          </a:prstGeom>
                          <a:noFill/>
                          <a:ln>
                            <a:noFill/>
                          </a:ln>
                        </pic:spPr>
                      </pic:pic>
                    </a:graphicData>
                  </a:graphic>
                </wp:inline>
              </w:drawing>
            </w:r>
          </w:p>
        </w:tc>
        <w:tc>
          <w:tcPr>
            <w:tcW w:w="0" w:type="auto"/>
            <w:vAlign w:val="center"/>
            <w:hideMark/>
          </w:tcPr>
          <w:p w:rsidR="001B52F0" w:rsidRPr="001B52F0" w:rsidRDefault="001B52F0" w:rsidP="001B52F0">
            <w:pPr>
              <w:ind w:left="1490"/>
            </w:pPr>
            <w:r w:rsidRPr="001B52F0">
              <w:rPr>
                <w:noProof/>
                <w:lang w:eastAsia="ru-RU"/>
              </w:rPr>
              <w:drawing>
                <wp:inline distT="0" distB="0" distL="0" distR="0">
                  <wp:extent cx="2476500" cy="1905000"/>
                  <wp:effectExtent l="0" t="0" r="0" b="0"/>
                  <wp:docPr id="4" name="Рисунок 4" descr="Памятка по борьбе с борщевиком Cосновского">
                    <a:hlinkClick xmlns:a="http://schemas.openxmlformats.org/drawingml/2006/main" r:id="rId6" tooltip="&quot;Памятка по борьбе с борщевиком C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о борьбе с борщевиком Cосновского">
                            <a:hlinkClick r:id="rId6" tooltip="&quot;Памятка по борьбе с борщевиком Cосновского&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tc>
      </w:tr>
    </w:tbl>
    <w:p w:rsidR="001B52F0" w:rsidRPr="001B52F0" w:rsidRDefault="001B52F0" w:rsidP="001B52F0">
      <w:pPr>
        <w:ind w:left="851"/>
        <w:rPr>
          <w:vanish/>
        </w:rPr>
      </w:pPr>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2448"/>
        <w:gridCol w:w="3360"/>
        <w:gridCol w:w="3547"/>
      </w:tblGrid>
      <w:tr w:rsidR="001B52F0" w:rsidRPr="001B52F0" w:rsidTr="001B52F0">
        <w:trPr>
          <w:tblCellSpacing w:w="15" w:type="dxa"/>
        </w:trPr>
        <w:tc>
          <w:tcPr>
            <w:tcW w:w="0" w:type="auto"/>
            <w:vAlign w:val="center"/>
            <w:hideMark/>
          </w:tcPr>
          <w:p w:rsidR="001B52F0" w:rsidRPr="001B52F0" w:rsidRDefault="001B52F0" w:rsidP="001B52F0">
            <w:r w:rsidRPr="001B52F0">
              <w:rPr>
                <w:noProof/>
                <w:lang w:eastAsia="ru-RU"/>
              </w:rPr>
              <w:drawing>
                <wp:inline distT="0" distB="0" distL="0" distR="0">
                  <wp:extent cx="1571625" cy="1543050"/>
                  <wp:effectExtent l="0" t="0" r="9525" b="0"/>
                  <wp:docPr id="3" name="Рисунок 3" descr="Памятка по борьбе с борщевиком Cосновского">
                    <a:hlinkClick xmlns:a="http://schemas.openxmlformats.org/drawingml/2006/main" r:id="rId8" tooltip="&quot;Памятка по борьбе с борщевиком C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по борьбе с борщевиком Cосновского">
                            <a:hlinkClick r:id="rId8" tooltip="&quot;Памятка по борьбе с борщевиком Cосновског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543050"/>
                          </a:xfrm>
                          <a:prstGeom prst="rect">
                            <a:avLst/>
                          </a:prstGeom>
                          <a:noFill/>
                          <a:ln>
                            <a:noFill/>
                          </a:ln>
                        </pic:spPr>
                      </pic:pic>
                    </a:graphicData>
                  </a:graphic>
                </wp:inline>
              </w:drawing>
            </w:r>
          </w:p>
        </w:tc>
        <w:tc>
          <w:tcPr>
            <w:tcW w:w="0" w:type="auto"/>
            <w:vAlign w:val="center"/>
            <w:hideMark/>
          </w:tcPr>
          <w:p w:rsidR="001B52F0" w:rsidRPr="001B52F0" w:rsidRDefault="001B52F0" w:rsidP="001B52F0">
            <w:pPr>
              <w:ind w:left="851"/>
            </w:pPr>
            <w:r w:rsidRPr="001B52F0">
              <w:rPr>
                <w:noProof/>
                <w:lang w:eastAsia="ru-RU"/>
              </w:rPr>
              <w:drawing>
                <wp:inline distT="0" distB="0" distL="0" distR="0">
                  <wp:extent cx="1657350" cy="1514475"/>
                  <wp:effectExtent l="0" t="0" r="0" b="9525"/>
                  <wp:docPr id="2" name="Рисунок 2" descr="Памятка по борьбе с борщевиком Cосновского">
                    <a:hlinkClick xmlns:a="http://schemas.openxmlformats.org/drawingml/2006/main" r:id="rId10" tooltip="&quot;Памятка по борьбе с борщевиком C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по борьбе с борщевиком Cосновского">
                            <a:hlinkClick r:id="rId10" tooltip="&quot;Памятка по борьбе с борщевиком Cосновского&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514475"/>
                          </a:xfrm>
                          <a:prstGeom prst="rect">
                            <a:avLst/>
                          </a:prstGeom>
                          <a:noFill/>
                          <a:ln>
                            <a:noFill/>
                          </a:ln>
                        </pic:spPr>
                      </pic:pic>
                    </a:graphicData>
                  </a:graphic>
                </wp:inline>
              </w:drawing>
            </w:r>
          </w:p>
        </w:tc>
        <w:tc>
          <w:tcPr>
            <w:tcW w:w="0" w:type="auto"/>
            <w:vAlign w:val="center"/>
            <w:hideMark/>
          </w:tcPr>
          <w:p w:rsidR="001B52F0" w:rsidRPr="001B52F0" w:rsidRDefault="001B52F0" w:rsidP="001B52F0">
            <w:pPr>
              <w:ind w:left="851"/>
            </w:pPr>
            <w:r w:rsidRPr="001B52F0">
              <w:rPr>
                <w:noProof/>
                <w:lang w:eastAsia="ru-RU"/>
              </w:rPr>
              <w:drawing>
                <wp:inline distT="0" distB="0" distL="0" distR="0">
                  <wp:extent cx="1771650" cy="1495425"/>
                  <wp:effectExtent l="0" t="0" r="0" b="9525"/>
                  <wp:docPr id="1" name="Рисунок 1" descr="Памятка по борьбе с борщевиком Cосновского">
                    <a:hlinkClick xmlns:a="http://schemas.openxmlformats.org/drawingml/2006/main" r:id="rId12" tooltip="&quot;Памятка по борьбе с борщевиком Cосно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мятка по борьбе с борщевиком Cосновского">
                            <a:hlinkClick r:id="rId12" tooltip="&quot;Памятка по борьбе с борщевиком Cосновского&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tc>
      </w:tr>
    </w:tbl>
    <w:p w:rsidR="002F1B5D" w:rsidRDefault="002F1B5D"/>
    <w:sectPr w:rsidR="002F1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2B"/>
    <w:rsid w:val="001B52F0"/>
    <w:rsid w:val="001C7793"/>
    <w:rsid w:val="002F1B5D"/>
    <w:rsid w:val="0075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FDB34-E540-4C80-965B-BE1DC6C9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r.ru/tinybrowser/fulls/images/novosti/2019/01/image00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adm-bor.ru/tinybrowser/fulls/images/novosti/2019/01/image00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bor.ru/tinybrowser/fulls/images/novosti/2019/01/image00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adm-bor.ru/tinybrowser/fulls/images/novosti/2019/01/image004.jpg" TargetMode="External"/><Relationship Id="rId4" Type="http://schemas.openxmlformats.org/officeDocument/2006/relationships/hyperlink" Target="http://www.adm-bor.ru/tinybrowser/fulls/images/novosti/2019/01/image001.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LENA_ST</dc:creator>
  <cp:keywords/>
  <dc:description/>
  <cp:lastModifiedBy>LYBAZ</cp:lastModifiedBy>
  <cp:revision>2</cp:revision>
  <dcterms:created xsi:type="dcterms:W3CDTF">2019-07-11T13:49:00Z</dcterms:created>
  <dcterms:modified xsi:type="dcterms:W3CDTF">2019-07-11T13:49:00Z</dcterms:modified>
</cp:coreProperties>
</file>