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696F7" w14:textId="2C5931FE" w:rsidR="00E66138" w:rsidRDefault="00E66138" w:rsidP="003117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1A37C1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С 18 июня 2024 года расширен перечень жизненно необходимых и важнейших лекарственных препаратов для медицинского применения</w:t>
      </w:r>
    </w:p>
    <w:p w14:paraId="1BD9BF88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59329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16.04.2024 № 938- р «О внесении изменений в распоряжение Правительства Российской Федерации от 12.10.2019 №2406-р» перечень жизненно необходимых и важнейших лекарственных препаратов для медицинского применения расширен следующими препаратами:</w:t>
      </w:r>
    </w:p>
    <w:p w14:paraId="043B3BB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цефепим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+ [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сульбактам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>],</w:t>
      </w:r>
    </w:p>
    <w:p w14:paraId="6F6E1785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ламивудин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фосфазид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>,</w:t>
      </w:r>
    </w:p>
    <w:p w14:paraId="6D892CD2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сампэгинтерферон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бета-1a,</w:t>
      </w:r>
    </w:p>
    <w:p w14:paraId="42895685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дивозилимаб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тирозил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– D –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аланил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глицил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фенилаланил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лейцил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- аргинина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сукцинат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>.</w:t>
      </w:r>
    </w:p>
    <w:p w14:paraId="29C90B4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сампэгинтерферон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бета-1а и </w:t>
      </w:r>
      <w:proofErr w:type="spellStart"/>
      <w:r w:rsidRPr="003554B1">
        <w:rPr>
          <w:rFonts w:ascii="Times New Roman" w:hAnsi="Times New Roman" w:cs="Times New Roman"/>
          <w:sz w:val="28"/>
          <w:szCs w:val="28"/>
        </w:rPr>
        <w:t>дивозилимаб</w:t>
      </w:r>
      <w:proofErr w:type="spellEnd"/>
      <w:r w:rsidRPr="003554B1">
        <w:rPr>
          <w:rFonts w:ascii="Times New Roman" w:hAnsi="Times New Roman" w:cs="Times New Roman"/>
          <w:sz w:val="28"/>
          <w:szCs w:val="28"/>
        </w:rPr>
        <w:t xml:space="preserve"> включены в перечень лекарственных препаратов, которыми обеспечиваются больные рассеянным склерозом.</w:t>
      </w:r>
    </w:p>
    <w:p w14:paraId="20C17569" w14:textId="77777777" w:rsid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20AD9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О порядке подачи заявления о преступлении</w:t>
      </w:r>
    </w:p>
    <w:p w14:paraId="0726E82C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5A27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 xml:space="preserve">В соответствии со ст. 141 Уголовно-процессуального кодекса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554B1">
        <w:rPr>
          <w:rFonts w:ascii="Times New Roman" w:hAnsi="Times New Roman" w:cs="Times New Roman"/>
          <w:sz w:val="28"/>
          <w:szCs w:val="28"/>
        </w:rPr>
        <w:t xml:space="preserve"> УПК РФ) заявление о преступлении может быть подано как в устной, так и в письменной форме. При этом, если заявление подается в письменной форме, то оно должно быть подписано заявителем. В нем указывается время, место и обстоятельства совершенного преступления, сведения о подозреваемых лицах. Устное заявление заносится в протокол, которое подписывается заявителем и лицом, принявшим данное заявление. В протоколе должны содержаться данные о заявителе, а также о документах, подтверждающих личность.</w:t>
      </w:r>
    </w:p>
    <w:p w14:paraId="3F55CDAD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Также заявитель предупреждается об уголовной ответственности за заведомо ложный донос в соответствии со ст. 306 Уголовного кодекса РФ, о чем в протоколе делается отметка, которая удостоверяется подписью заявителя.</w:t>
      </w:r>
    </w:p>
    <w:p w14:paraId="59C02CCE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По общему правилу территориальной подследственности проверку проводит то подразделение, полномочия которого распространяются на место, где было совершено преступление.</w:t>
      </w:r>
    </w:p>
    <w:p w14:paraId="3C83B533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В соответствии с п. п. 34, 35 «Инструкции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РФ от 29.08.2014 № 736», сотрудники полиции, принявшие заявление о преступлении лично от заявителя, обязаны выдать ему под роспись соответствующий талон-уведомление. При сообщении о преступлении по телефону талон-уведомление не выдается.</w:t>
      </w:r>
    </w:p>
    <w:p w14:paraId="23CB419E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Статьей 144 УПК РФ определено, что правоохранительные органы обязаны в пределах своей компетенции принять решение по сообщению о преступлении в срок не позднее 3 суток со дня поступления сообщения. Указанный срок может быть продлен до 10 суток, а в отдельных случаях — до 30 суток.</w:t>
      </w:r>
    </w:p>
    <w:p w14:paraId="47A106F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lastRenderedPageBreak/>
        <w:t>По результатам рассмотрения сообщения о преступлении принимается одно из решений:</w:t>
      </w:r>
    </w:p>
    <w:p w14:paraId="07941C67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о возбуждении уголовного дела,</w:t>
      </w:r>
    </w:p>
    <w:p w14:paraId="58124E85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об отказе в возбуждении уголовного дела,</w:t>
      </w:r>
    </w:p>
    <w:p w14:paraId="515B1982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о передаче сообщения по подследственности либо (по делам частного обвинения) в суд.</w:t>
      </w:r>
    </w:p>
    <w:p w14:paraId="2EEE7E39" w14:textId="77777777" w:rsid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D1D10" w14:textId="77777777" w:rsid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С 01 сентября 2024 года будут изменены положения статьи 7.23 Кодекса об административных правонарушениях Российской Федерации</w:t>
      </w:r>
    </w:p>
    <w:p w14:paraId="0B00A5D0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5DC7A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Действующая редакция статьи 7.23 Кодекса об административных правонарушениях Российской Федерации предусматривает лишь привлечение к административной ответственности за нарушение нормативов обеспечения населения коммунальными услугами в виде административного штрафа на должностных лиц в размере от 500 до 1 тысячи рублей; на юридических лиц - от 5 тысяч до 10 тысяч рублей.</w:t>
      </w:r>
    </w:p>
    <w:p w14:paraId="37480BD6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Федеральным законом от 29.05.2024 № 116-ФЗ «О внесении изменения в статью 7.23 Кодекса об административных правонарушениях» расширены положения статьи 7.23 Кодекса об административных правонарушениях Российской Федерации, а именно:</w:t>
      </w:r>
    </w:p>
    <w:p w14:paraId="61FAF093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1) за нарушение нормативного уровня или режима обеспечения населения коммунальными услугами лицами, осуществляющими поставки ресурсов, необходимых для предоставления коммунальных услуг, предусмотрена административная ответственность в виде предупреждения или наложения административного штрафа на должностных лиц в размере от 5 тысяч до 10 тысяч рублей; на юридических лиц - от 30 тысяч до 50 тысяч рублей;</w:t>
      </w:r>
    </w:p>
    <w:p w14:paraId="72EC1D7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2) повторное совершение вышеуказанного административного правонарушения - повлечет наложение административного штрафа на должностных лиц в размере от 10 тысяч до 30 тысяч рублей; на юридических лиц - от 50 тысяч до 100 тысяч рублей.</w:t>
      </w:r>
    </w:p>
    <w:p w14:paraId="6732D41D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048CF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спам-звонки и недобросовестную рекламу микрофинансовых организаций</w:t>
      </w:r>
    </w:p>
    <w:p w14:paraId="39F5F2BC" w14:textId="77777777" w:rsid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DDF5B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С 17 апреля 2024 года внесены изменения в ст. 14.3 Кодекса Российской Федерации об административных правонарушениях, предусматривающую ответственность за нарушение законодательства о рекламе.</w:t>
      </w:r>
    </w:p>
    <w:p w14:paraId="311E5D5B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Согласно нововведениям, ужесточается наказание за спам-звонки и рекламу кредитов с нарушением Федерального закона от 16.03.2006 №38-Ф3 «О рекламе». Так, нарушение установленных законодательством о рекламе требований к рекламе, распространяемой по сетям электросвязи, повлечет наложение административного штрафа:</w:t>
      </w:r>
    </w:p>
    <w:p w14:paraId="74F047D8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граждан в размере от 10 до 20 тысяч рублей,</w:t>
      </w:r>
    </w:p>
    <w:p w14:paraId="410116DD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должностных лиц от 20 до 100 тысяч рублей,</w:t>
      </w:r>
    </w:p>
    <w:p w14:paraId="61D6FD9E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юридических лиц от 300 тысяч до 1 млн. рублей.</w:t>
      </w:r>
    </w:p>
    <w:p w14:paraId="0FCC6E5E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lastRenderedPageBreak/>
        <w:t>Кроме этого, законом ответственность за недобросовестную рекламу услуг по предоставлению кредитов и займов распространена на микрофинансовые организации, и увеличены размеры штрафов за указанное правонарушение.</w:t>
      </w:r>
    </w:p>
    <w:p w14:paraId="30B2C91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Допущение подобных нарушений повлечет наложение административного штрафа: для должностных лиц -от 40 до 100 тысяч рублей; для юридических лиц - от 600 тысяч до 1,6 млн. рублей.</w:t>
      </w:r>
    </w:p>
    <w:p w14:paraId="55D85E80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E3FB8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F7345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8620D1" w14:textId="77777777" w:rsid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Вступают в силу механизмы по противодействию хищению денежных средств граждан дистанционным способом</w:t>
      </w:r>
    </w:p>
    <w:p w14:paraId="38A5CA6B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323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С целью совершенствования механизма противодействия хищению денежных средств в качестве превентивных мер 24.07.2023 принят Федеральный закон от №369-ФЗ «О внесении изменений в Федеральный закон «О национальной платежной системе».</w:t>
      </w:r>
    </w:p>
    <w:p w14:paraId="51B9CBBB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По закону оператор по переводу денежных средств (банк) обязан осуществить проверку наличия признаков осуществления перевода денежных средств без добровольного согласия клиента либо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средств клиента.</w:t>
      </w:r>
    </w:p>
    <w:p w14:paraId="5FC9B2C7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При наличии признаков перевода денежных средств без согласия клиента, оператор должен приостановить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14:paraId="57DC6112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Законом также предусмотрены меры защиты клиента в случае необоснованного перечисления денежных средств.</w:t>
      </w:r>
    </w:p>
    <w:p w14:paraId="3C84D52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Например, если оператор после перевода денежных средств получает от Банка России информацию о том, что проведенная операция содержит признаки перевода денежных средств без добровольного согласия клиента, оператор обязан возместить клиенту эту сумму в 30-дневный срок.</w:t>
      </w:r>
    </w:p>
    <w:p w14:paraId="4EF1AB9B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Кроме того, банк будет обязан приостановить использование клиентом электронного средства платежа, если к нему об этом счете или клиенте поступит информация от Банка России или правоохранительных органов о совершенных противоправных действиях с использованием этого счета.</w:t>
      </w:r>
    </w:p>
    <w:p w14:paraId="285137DF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Простыми словами счета, используемые для хищения денежных средств граждан, а также для их последующего вывода будут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того, какие из них использовались в противоправных целях.</w:t>
      </w:r>
    </w:p>
    <w:p w14:paraId="4ED9225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Закон вступает в силу с 25.07.2024.</w:t>
      </w:r>
    </w:p>
    <w:p w14:paraId="7B06D2D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2A81E" w14:textId="77777777" w:rsid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срока и порядка оплаты товаров, работ, услуг при осуществлении закупок для обеспечения государственных и муниципальных нужд</w:t>
      </w:r>
    </w:p>
    <w:p w14:paraId="5F885B0B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98E2A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lastRenderedPageBreak/>
        <w:t>Закупкой товара, работы либо услуги для обеспечения государственных или муниципальных нужд является совокупность действий, направленных на обеспечение государственных или муниципальных нужд за счет средств государственного бюджета с целью эффективного их использования.</w:t>
      </w:r>
    </w:p>
    <w:p w14:paraId="286F9A9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В торгах на закупку товара, работы, услуги принимают участие потенциальные поставщики и подрядчики, которые подают соответствующие заявки. По итогам торгов с победителем заключается контракт, в котором обязательно должны содержаться сведения о сроках оплаты работ и порядок их проведения.</w:t>
      </w:r>
    </w:p>
    <w:p w14:paraId="5C89F7E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Оплата заказчиком контракта может осуществляться как в полном единовременном перечислении средств, так и в поэтапной оплате по мере исполнения контракта либо авансировании. Срок оплаты по контракту составляет от 7 рабочих до 30 календарных дней и зависит от разных условий (если расчеты по контракту или аванс по нему подлежат казначейскому сопровождению, стороны заключили контракт по обеспечению обороны и безопасности государства и другое).</w:t>
      </w:r>
    </w:p>
    <w:p w14:paraId="33F763F5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За нарушение должностным лицом срока и порядка оплаты товаров, работ, услуг при осуществлении закупок для обеспечения государственных и муниципальных нужд, в том числе неисполнение обязанности по обеспечению авансирования предусмотрена административная ответственность по статье 7.32.5 Кодекса Российской Федерации об административных правонарушениях. Наказанием за данное правонарушение является штраф в размере от 30 тыс. до 50 тыс. рублей.</w:t>
      </w:r>
    </w:p>
    <w:p w14:paraId="34C27317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Если должностное лицо ранее привлекалось к административной ответственности за аналогичное правонарушение, ему грозит дисквалификация на срок от одного года до двух лет.</w:t>
      </w:r>
    </w:p>
    <w:p w14:paraId="22C5FEF7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319C2" w14:textId="77777777" w:rsid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B1">
        <w:rPr>
          <w:rFonts w:ascii="Times New Roman" w:hAnsi="Times New Roman" w:cs="Times New Roman"/>
          <w:b/>
          <w:sz w:val="28"/>
          <w:szCs w:val="28"/>
        </w:rPr>
        <w:t>Усилена административная ответственность за нарушение правил обслуживания внутридомового и внутриквартирного газового оборудования</w:t>
      </w:r>
    </w:p>
    <w:p w14:paraId="5D8FDAA7" w14:textId="77777777" w:rsidR="003554B1" w:rsidRPr="003554B1" w:rsidRDefault="003554B1" w:rsidP="003554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414D4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Федеральным законом от 06.04.2024 № 77-ФЗ внесены изменения в Кодекс Российской Федерации об административных правонарушениях, ужесточившие административную ответственность за правонарушения в рассматриваемой сфере. Так, 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повлечет наложение штрафа:</w:t>
      </w:r>
    </w:p>
    <w:p w14:paraId="675FF2E3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граждан в размере от 5 тысяч до 10 тысяч рублей;</w:t>
      </w:r>
    </w:p>
    <w:p w14:paraId="66F5E1A1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должностных лиц от 25 тысяч до 100 тысяч рублей;</w:t>
      </w:r>
    </w:p>
    <w:p w14:paraId="01DDBE4D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- на юридических лиц от 200 тысяч до 500 тысяч рублей.</w:t>
      </w:r>
    </w:p>
    <w:p w14:paraId="32DA3729" w14:textId="77777777" w:rsidR="003554B1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t>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оборудования, если заключение таких договоров является обязательным.</w:t>
      </w:r>
    </w:p>
    <w:p w14:paraId="7882F9A8" w14:textId="77777777" w:rsidR="00E66138" w:rsidRPr="003554B1" w:rsidRDefault="003554B1" w:rsidP="00355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B1">
        <w:rPr>
          <w:rFonts w:ascii="Times New Roman" w:hAnsi="Times New Roman" w:cs="Times New Roman"/>
          <w:sz w:val="28"/>
          <w:szCs w:val="28"/>
        </w:rPr>
        <w:lastRenderedPageBreak/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повлечет наложение штрафа на должностных лиц в размере от 50 тысяч до 100 тысяч рублей; на юридических лиц - от 100 тысяч до 500 тысяч рублей.</w:t>
      </w:r>
    </w:p>
    <w:p w14:paraId="53B0AA1A" w14:textId="77777777" w:rsidR="00E66138" w:rsidRPr="003554B1" w:rsidRDefault="00E66138" w:rsidP="00804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A7BE4" w14:textId="77777777" w:rsidR="0002103E" w:rsidRPr="003554B1" w:rsidRDefault="0002103E" w:rsidP="00E6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103E" w:rsidRPr="003554B1" w:rsidSect="00420117">
      <w:footerReference w:type="first" r:id="rId6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2014A" w14:textId="77777777" w:rsidR="009E3D9C" w:rsidRDefault="009E3D9C">
      <w:pPr>
        <w:spacing w:after="0" w:line="240" w:lineRule="auto"/>
      </w:pPr>
      <w:r>
        <w:separator/>
      </w:r>
    </w:p>
  </w:endnote>
  <w:endnote w:type="continuationSeparator" w:id="0">
    <w:p w14:paraId="2F6C15DF" w14:textId="77777777" w:rsidR="009E3D9C" w:rsidRDefault="009E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AA39" w14:textId="77777777" w:rsidR="00107179" w:rsidRDefault="009E3D9C" w:rsidP="008B567E">
    <w:pPr>
      <w:pStyle w:val="a4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28D33" w14:textId="77777777" w:rsidR="009E3D9C" w:rsidRDefault="009E3D9C">
      <w:pPr>
        <w:spacing w:after="0" w:line="240" w:lineRule="auto"/>
      </w:pPr>
      <w:r>
        <w:separator/>
      </w:r>
    </w:p>
  </w:footnote>
  <w:footnote w:type="continuationSeparator" w:id="0">
    <w:p w14:paraId="2C0C0DDF" w14:textId="77777777" w:rsidR="009E3D9C" w:rsidRDefault="009E3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1"/>
    <w:rsid w:val="0002103E"/>
    <w:rsid w:val="00056D5B"/>
    <w:rsid w:val="000A6D52"/>
    <w:rsid w:val="00141ADD"/>
    <w:rsid w:val="00204BC8"/>
    <w:rsid w:val="00233544"/>
    <w:rsid w:val="00311771"/>
    <w:rsid w:val="003554B1"/>
    <w:rsid w:val="003E43A3"/>
    <w:rsid w:val="004408C9"/>
    <w:rsid w:val="004D6D65"/>
    <w:rsid w:val="00621A89"/>
    <w:rsid w:val="006840B3"/>
    <w:rsid w:val="00786CAA"/>
    <w:rsid w:val="0080426C"/>
    <w:rsid w:val="00840343"/>
    <w:rsid w:val="00944E60"/>
    <w:rsid w:val="00962BA0"/>
    <w:rsid w:val="009E3D9C"/>
    <w:rsid w:val="009F6FB5"/>
    <w:rsid w:val="00AD7E30"/>
    <w:rsid w:val="00B555B7"/>
    <w:rsid w:val="00B92752"/>
    <w:rsid w:val="00BC61F2"/>
    <w:rsid w:val="00BF645C"/>
    <w:rsid w:val="00D43A5E"/>
    <w:rsid w:val="00E66138"/>
    <w:rsid w:val="00EC28DA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6A8"/>
  <w15:chartTrackingRefBased/>
  <w15:docId w15:val="{D64BC22B-2CDE-4465-9C20-C657570F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71"/>
  </w:style>
  <w:style w:type="paragraph" w:styleId="1">
    <w:name w:val="heading 1"/>
    <w:basedOn w:val="a"/>
    <w:next w:val="a"/>
    <w:link w:val="10"/>
    <w:uiPriority w:val="9"/>
    <w:qFormat/>
    <w:rsid w:val="003117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7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31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1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1771"/>
  </w:style>
  <w:style w:type="paragraph" w:styleId="a6">
    <w:name w:val="header"/>
    <w:basedOn w:val="a"/>
    <w:link w:val="a7"/>
    <w:uiPriority w:val="99"/>
    <w:unhideWhenUsed/>
    <w:rsid w:val="00AD7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Матасова Марина Сергеевна</dc:creator>
  <cp:keywords/>
  <dc:description/>
  <cp:lastModifiedBy>mgd</cp:lastModifiedBy>
  <cp:revision>4</cp:revision>
  <dcterms:created xsi:type="dcterms:W3CDTF">2024-07-22T11:56:00Z</dcterms:created>
  <dcterms:modified xsi:type="dcterms:W3CDTF">2024-07-22T11:58:00Z</dcterms:modified>
</cp:coreProperties>
</file>